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56F" w:rsidRDefault="00FF556F">
      <w:pPr>
        <w:widowControl w:val="0"/>
        <w:autoSpaceDE w:val="0"/>
        <w:autoSpaceDN w:val="0"/>
        <w:adjustRightInd w:val="0"/>
        <w:spacing w:after="150" w:line="240" w:lineRule="auto"/>
        <w:jc w:val="both"/>
        <w:rPr>
          <w:rFonts w:ascii="Times New Roman" w:hAnsi="Times New Roman"/>
          <w:sz w:val="24"/>
          <w:szCs w:val="24"/>
        </w:rPr>
      </w:pPr>
      <w:bookmarkStart w:id="0" w:name="_GoBack"/>
      <w:bookmarkEnd w:id="0"/>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Зарегистрировано в Минюсте России 3 сентября 2021 г. N 64879</w:t>
      </w:r>
    </w:p>
    <w:p w:rsidR="00FF556F" w:rsidRDefault="00FF556F">
      <w:pPr>
        <w:widowControl w:val="0"/>
        <w:pBdr>
          <w:bottom w:val="single" w:sz="4" w:space="1" w:color="auto"/>
        </w:pBdr>
        <w:autoSpaceDE w:val="0"/>
        <w:autoSpaceDN w:val="0"/>
        <w:adjustRightInd w:val="0"/>
        <w:spacing w:after="0" w:line="240" w:lineRule="auto"/>
        <w:rPr>
          <w:rFonts w:ascii="Times New Roman" w:hAnsi="Times New Roman"/>
          <w:sz w:val="24"/>
          <w:szCs w:val="24"/>
        </w:rPr>
      </w:pPr>
      <w:r>
        <w:rPr>
          <w:rFonts w:ascii="Times New Roman" w:hAnsi="Times New Roman"/>
          <w:sz w:val="4"/>
          <w:szCs w:val="4"/>
        </w:rPr>
        <w:t> </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МИНИСТЕРСТВО НАУКИ И ВЫСШЕГО ОБРАЗОВАНИЯ РОССИЙСКОЙ ФЕДЕРАЦИИ</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center"/>
        <w:rPr>
          <w:rFonts w:ascii="Times New Roman" w:hAnsi="Times New Roman"/>
          <w:b/>
          <w:bCs/>
          <w:sz w:val="36"/>
          <w:szCs w:val="36"/>
        </w:rPr>
      </w:pPr>
      <w:r>
        <w:rPr>
          <w:rFonts w:ascii="Times New Roman" w:hAnsi="Times New Roman"/>
          <w:b/>
          <w:bCs/>
          <w:sz w:val="36"/>
          <w:szCs w:val="36"/>
        </w:rPr>
        <w:t>ПРИКАЗ</w:t>
      </w:r>
    </w:p>
    <w:p w:rsidR="00FF556F" w:rsidRDefault="00FF556F">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от 6 августа 2021 г. N 721</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ОБ УТВЕРЖДЕНИИ ПОРЯДКА ПРИЕМА НА ОБУЧЕНИЕ ПО ОБРАЗОВАТЕЛЬНЫМ ПРОГРАММАМ ВЫСШЕГО ОБРАЗОВАНИЯ - ПРОГРАММАМ ПОДГОТОВКИ НАУЧНЫХ И НАУЧНО-ПЕДАГОГИЧЕСКИХ КАДРОВ В АСПИРАНТУРЕ</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соответствии с </w:t>
      </w:r>
      <w:hyperlink r:id="rId4" w:history="1">
        <w:r>
          <w:rPr>
            <w:rFonts w:ascii="Times New Roman" w:hAnsi="Times New Roman"/>
            <w:sz w:val="24"/>
            <w:szCs w:val="24"/>
            <w:u w:val="single"/>
          </w:rPr>
          <w:t>частью 8</w:t>
        </w:r>
      </w:hyperlink>
      <w:r>
        <w:rPr>
          <w:rFonts w:ascii="Times New Roman" w:hAnsi="Times New Roman"/>
          <w:sz w:val="24"/>
          <w:szCs w:val="24"/>
        </w:rPr>
        <w:t xml:space="preserve"> статьи 55 Федерального закона от 29 декабря 2012 г. N 273-ФЗ "Об образовании в Российской Федерации" (Собрание законодательства Российской Федерации, 2012, N 53, ст. 7598; 2021, N 13, ст. 2137) и </w:t>
      </w:r>
      <w:hyperlink r:id="rId5" w:history="1">
        <w:r>
          <w:rPr>
            <w:rFonts w:ascii="Times New Roman" w:hAnsi="Times New Roman"/>
            <w:sz w:val="24"/>
            <w:szCs w:val="24"/>
            <w:u w:val="single"/>
          </w:rPr>
          <w:t>подпунктом 4.2.31</w:t>
        </w:r>
      </w:hyperlink>
      <w:r>
        <w:rPr>
          <w:rFonts w:ascii="Times New Roman" w:hAnsi="Times New Roman"/>
          <w:sz w:val="24"/>
          <w:szCs w:val="24"/>
        </w:rPr>
        <w:t xml:space="preserve"> пункта 4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приказываю:</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Утвердить прилагаемый Порядок приема на обучение по образовательным программам высшего образования - программам подготовки научных и научно-педагогических кадров в аспирантуре (далее - Порядок).</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Установить, что Порядок применяется при приеме на обучение по образовательным программам высшего образования - программам подготовки научных и научно-педагогических кадров в аспирантуре начиная с 2022/23 учебного года.</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Признать утратившими силу начиная с 2022/23 учебного года:</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приказы Министерства образования и науки Российской Федерации:</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hyperlink r:id="rId6" w:history="1">
        <w:r>
          <w:rPr>
            <w:rFonts w:ascii="Times New Roman" w:hAnsi="Times New Roman"/>
            <w:sz w:val="24"/>
            <w:szCs w:val="24"/>
            <w:u w:val="single"/>
          </w:rPr>
          <w:t>от 12 января 2017 г. N 13</w:t>
        </w:r>
      </w:hyperlink>
      <w:r>
        <w:rPr>
          <w:rFonts w:ascii="Times New Roman" w:hAnsi="Times New Roman"/>
          <w:sz w:val="24"/>
          <w:szCs w:val="24"/>
        </w:rPr>
        <w:t xml:space="preserve"> "Об утверждении Порядка приема на обучение по образовательным программам высшего образования - программам подготовки научно-педагогических кадров в аспирантуре" (зарегистрирован Министерством юстиции Российской Федерации 3 марта 2017 г., регистрационный N 45843);</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hyperlink r:id="rId7" w:history="1">
        <w:r>
          <w:rPr>
            <w:rFonts w:ascii="Times New Roman" w:hAnsi="Times New Roman"/>
            <w:sz w:val="24"/>
            <w:szCs w:val="24"/>
            <w:u w:val="single"/>
          </w:rPr>
          <w:t>от 11 января 2018 г. N 23</w:t>
        </w:r>
      </w:hyperlink>
      <w:r>
        <w:rPr>
          <w:rFonts w:ascii="Times New Roman" w:hAnsi="Times New Roman"/>
          <w:sz w:val="24"/>
          <w:szCs w:val="24"/>
        </w:rPr>
        <w:t xml:space="preserve"> "О внесении изменений в 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от 12 января 2017 г. N 13" (зарегистрирован Министерством юстиции Российской Федерации 1 февраля 2018 г., регистрационный N 49857);</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 приказы Министерства науки и высшего образования Российской Федерации:</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hyperlink r:id="rId8" w:history="1">
        <w:r>
          <w:rPr>
            <w:rFonts w:ascii="Times New Roman" w:hAnsi="Times New Roman"/>
            <w:sz w:val="24"/>
            <w:szCs w:val="24"/>
            <w:u w:val="single"/>
          </w:rPr>
          <w:t>от 17 декабря 2018 г. N 82н</w:t>
        </w:r>
      </w:hyperlink>
      <w:r>
        <w:rPr>
          <w:rFonts w:ascii="Times New Roman" w:hAnsi="Times New Roman"/>
          <w:sz w:val="24"/>
          <w:szCs w:val="24"/>
        </w:rPr>
        <w:t xml:space="preserve"> "О внесении изменений в 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от 12 января 2017 г. N 13" (зарегистрирован Министерством юстиции Российской Федерации 18 января 2019 г., регистрационный N 53439);</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hyperlink r:id="rId9" w:history="1">
        <w:r>
          <w:rPr>
            <w:rFonts w:ascii="Times New Roman" w:hAnsi="Times New Roman"/>
            <w:sz w:val="24"/>
            <w:szCs w:val="24"/>
            <w:u w:val="single"/>
          </w:rPr>
          <w:t>от 21 августа 2020 г. N 1079</w:t>
        </w:r>
      </w:hyperlink>
      <w:r>
        <w:rPr>
          <w:rFonts w:ascii="Times New Roman" w:hAnsi="Times New Roman"/>
          <w:sz w:val="24"/>
          <w:szCs w:val="24"/>
        </w:rPr>
        <w:t xml:space="preserve"> "О внесении изменения в пункт 74 Порядка приема на обучение по образовательным программам высшего образования - программам подготовки научно-педагогических кадров в аспирантуре, утвержденного приказом Министерства образования и науки Российской Федерации от 12 января 2017 г. N 13" (зарегистрирован Министерством юстиции Российской Федерации 1 сентября 2020 г., регистрационный N 59607).</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Настоящий приказ вступает в силу с 1 марта 2022 года и действует до 1 марта 2028 года.</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Врио Министра</w:t>
      </w:r>
    </w:p>
    <w:p w:rsidR="00FF556F" w:rsidRDefault="00FF556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А.В. НАРУКАВНИКОВ</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w:t>
      </w:r>
    </w:p>
    <w:p w:rsidR="00FF556F" w:rsidRDefault="00FF556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приказом Министерства науки</w:t>
      </w:r>
    </w:p>
    <w:p w:rsidR="00FF556F" w:rsidRDefault="00FF556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и высшего образования</w:t>
      </w:r>
    </w:p>
    <w:p w:rsidR="00FF556F" w:rsidRDefault="00FF556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FF556F" w:rsidRDefault="00FF556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6 августа 2021 г. N 721</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ПОРЯДОК ПРИЕМА НА ОБУЧЕНИЕ ПО ОБРАЗОВАТЕЛЬНЫМ ПРОГРАММАМ ВЫСШЕГО ОБРАЗОВАНИЯ - ПРОГРАММАМ ПОДГОТОВКИ НАУЧНЫХ И НАУЧНО-ПЕДАГОГИЧЕСКИХ КАДРОВ В АСПИРАНТУРЕ</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 Общие положения</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Настоящий Порядок приема на обучение по образовательным программам высшего образования - программам подготовки научных и научно-педагогических кадров в аспирантуре (далее - Порядок) регламентирует прием граждан Российской Федерации, иностранных граждан и лиц без гражданства (далее - поступающие) в организации, осуществляющие образовательную деятельность, на обучение по образовательным программам высшего образования - программам подготовки научных и научно-</w:t>
      </w:r>
      <w:r>
        <w:rPr>
          <w:rFonts w:ascii="Times New Roman" w:hAnsi="Times New Roman"/>
          <w:sz w:val="24"/>
          <w:szCs w:val="24"/>
        </w:rPr>
        <w:lastRenderedPageBreak/>
        <w:t>педагогических кадров в аспирантуре (далее соответственно - организации, программы аспирантуры), в том числе особенности проведения вступительных испытаний для инвалидов.</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Организация объявляет прием на обучение по программам аспирантуры (далее - прием на обучение) при наличии лицензии на осуществление образовательной деятельности, если иное не установлено федеральными законами.</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Порядок и условия приема в федеральные государственные организации, осуществляющие образовательную деятельность и находящиеся в ведении федеральных государственных органов, указанных в </w:t>
      </w:r>
      <w:hyperlink r:id="rId10" w:history="1">
        <w:r>
          <w:rPr>
            <w:rFonts w:ascii="Times New Roman" w:hAnsi="Times New Roman"/>
            <w:sz w:val="24"/>
            <w:szCs w:val="24"/>
            <w:u w:val="single"/>
          </w:rPr>
          <w:t>части 1</w:t>
        </w:r>
      </w:hyperlink>
      <w:r>
        <w:rPr>
          <w:rFonts w:ascii="Times New Roman" w:hAnsi="Times New Roman"/>
          <w:sz w:val="24"/>
          <w:szCs w:val="24"/>
        </w:rPr>
        <w:t xml:space="preserve"> статьи 81 Федерального закона от 29 декабря 2012 г. N 273-ФЗ "Об образовании в Российской Федерации" (далее - Федеральный закон N 273-ФЗ), устанавливаются указанными федеральными государственными органами &lt;1&gt;.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&lt;1&gt; </w:t>
      </w:r>
      <w:hyperlink r:id="rId11" w:history="1">
        <w:r>
          <w:rPr>
            <w:rFonts w:ascii="Times New Roman" w:hAnsi="Times New Roman"/>
            <w:sz w:val="24"/>
            <w:szCs w:val="24"/>
            <w:u w:val="single"/>
          </w:rPr>
          <w:t>Пункт 1</w:t>
        </w:r>
      </w:hyperlink>
      <w:r>
        <w:rPr>
          <w:rFonts w:ascii="Times New Roman" w:hAnsi="Times New Roman"/>
          <w:sz w:val="24"/>
          <w:szCs w:val="24"/>
        </w:rPr>
        <w:t xml:space="preserve"> части 10 статьи 81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К освоению программ аспирантуры допускаются лица, имеющие образование не ниже высшего (специалитет или магистратура) &lt;2&gt;.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&lt;2&gt; </w:t>
      </w:r>
      <w:hyperlink r:id="rId12" w:history="1">
        <w:r>
          <w:rPr>
            <w:rFonts w:ascii="Times New Roman" w:hAnsi="Times New Roman"/>
            <w:sz w:val="24"/>
            <w:szCs w:val="24"/>
            <w:u w:val="single"/>
          </w:rPr>
          <w:t>Часть 4</w:t>
        </w:r>
      </w:hyperlink>
      <w:r>
        <w:rPr>
          <w:rFonts w:ascii="Times New Roman" w:hAnsi="Times New Roman"/>
          <w:sz w:val="24"/>
          <w:szCs w:val="24"/>
        </w:rPr>
        <w:t xml:space="preserve"> статьи 69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Поступающий представляет документ об образовании и о квалификации, удостоверяющий образование соответствующего уровня (далее - документ установленного образца):</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документ об образовании и о квалификации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образца &lt;3&gt;;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&lt;3&gt; </w:t>
      </w:r>
      <w:hyperlink r:id="rId13" w:history="1">
        <w:r>
          <w:rPr>
            <w:rFonts w:ascii="Times New Roman" w:hAnsi="Times New Roman"/>
            <w:sz w:val="24"/>
            <w:szCs w:val="24"/>
            <w:u w:val="single"/>
          </w:rPr>
          <w:t>Часть 4</w:t>
        </w:r>
      </w:hyperlink>
      <w:r>
        <w:rPr>
          <w:rFonts w:ascii="Times New Roman" w:hAnsi="Times New Roman"/>
          <w:sz w:val="24"/>
          <w:szCs w:val="24"/>
        </w:rPr>
        <w:t xml:space="preserve"> статьи 60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документ государственного образца об уровне образования и о квалификации, полученный </w:t>
      </w:r>
      <w:r>
        <w:rPr>
          <w:rFonts w:ascii="Times New Roman" w:hAnsi="Times New Roman"/>
          <w:sz w:val="24"/>
          <w:szCs w:val="24"/>
        </w:rPr>
        <w:lastRenderedPageBreak/>
        <w:t>до 1 января 2014 г.;</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документ об образовании и о квалификации образца, установленного федеральным государственным бюджетным образовательным учреждением высшего образования "Московский государственный университет имени М.В. Ломоносова", федеральным государственным бюджетным образовательным учреждением высшего образования "Санкт-Петербургский государственный университет", или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 &lt;4&gt;;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&lt;4&gt; </w:t>
      </w:r>
      <w:hyperlink r:id="rId14" w:history="1">
        <w:r>
          <w:rPr>
            <w:rFonts w:ascii="Times New Roman" w:hAnsi="Times New Roman"/>
            <w:sz w:val="24"/>
            <w:szCs w:val="24"/>
            <w:u w:val="single"/>
          </w:rPr>
          <w:t>Часть 5</w:t>
        </w:r>
      </w:hyperlink>
      <w:r>
        <w:rPr>
          <w:rFonts w:ascii="Times New Roman" w:hAnsi="Times New Roman"/>
          <w:sz w:val="24"/>
          <w:szCs w:val="24"/>
        </w:rPr>
        <w:t xml:space="preserve"> статьи 60 Федерального закона от 29 декабря 2012 г. N 273-ФЗ "Об образовании в Российской Федерации" (Собрание законодательства Российской Федерации, 2012, N 53, ст. 7598), часть 5 статьи 4 Федерального закона от 10 ноября 2009 г. N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5418; 2015, N 10, ст. 1422).</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документ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 или предусмотренными </w:t>
      </w:r>
      <w:hyperlink r:id="rId15" w:history="1">
        <w:r>
          <w:rPr>
            <w:rFonts w:ascii="Times New Roman" w:hAnsi="Times New Roman"/>
            <w:sz w:val="24"/>
            <w:szCs w:val="24"/>
            <w:u w:val="single"/>
          </w:rPr>
          <w:t>частью 3</w:t>
        </w:r>
      </w:hyperlink>
      <w:r>
        <w:rPr>
          <w:rFonts w:ascii="Times New Roman" w:hAnsi="Times New Roman"/>
          <w:sz w:val="24"/>
          <w:szCs w:val="24"/>
        </w:rPr>
        <w:t xml:space="preserve"> статьи 21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научно-технологического центра &lt;5&gt;;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&lt;5&gt; </w:t>
      </w:r>
      <w:hyperlink r:id="rId16" w:history="1">
        <w:r>
          <w:rPr>
            <w:rFonts w:ascii="Times New Roman" w:hAnsi="Times New Roman"/>
            <w:sz w:val="24"/>
            <w:szCs w:val="24"/>
            <w:u w:val="single"/>
          </w:rPr>
          <w:t>Часть 2</w:t>
        </w:r>
      </w:hyperlink>
      <w:r>
        <w:rPr>
          <w:rFonts w:ascii="Times New Roman" w:hAnsi="Times New Roman"/>
          <w:sz w:val="24"/>
          <w:szCs w:val="24"/>
        </w:rPr>
        <w:t xml:space="preserve"> статьи 17 Федерального закона от 28 сентября 2010 г. N 244-ФЗ "Об инновационном центре "Сколково" (Собрание законодательства Российской Федерации, 2010, N 40, ст. 4970; 2013, N 27, ст. 3477), </w:t>
      </w:r>
      <w:hyperlink r:id="rId17" w:history="1">
        <w:r>
          <w:rPr>
            <w:rFonts w:ascii="Times New Roman" w:hAnsi="Times New Roman"/>
            <w:sz w:val="24"/>
            <w:szCs w:val="24"/>
            <w:u w:val="single"/>
          </w:rPr>
          <w:t>часть 9</w:t>
        </w:r>
      </w:hyperlink>
      <w:r>
        <w:rPr>
          <w:rFonts w:ascii="Times New Roman" w:hAnsi="Times New Roman"/>
          <w:sz w:val="24"/>
          <w:szCs w:val="24"/>
        </w:rPr>
        <w:t xml:space="preserve"> статьи 17 Федерального закона от 28 сентября 2010 г. N 244-ФЗ "Об инновационном центре "Сколково" (Собрание законодательства Российской Федерации, 2010, N 40, ст. 4970; 2019, N 31, ст. 4457), </w:t>
      </w:r>
      <w:hyperlink r:id="rId18" w:history="1">
        <w:r>
          <w:rPr>
            <w:rFonts w:ascii="Times New Roman" w:hAnsi="Times New Roman"/>
            <w:sz w:val="24"/>
            <w:szCs w:val="24"/>
            <w:u w:val="single"/>
          </w:rPr>
          <w:t>часть 10</w:t>
        </w:r>
      </w:hyperlink>
      <w:r>
        <w:rPr>
          <w:rFonts w:ascii="Times New Roman" w:hAnsi="Times New Roman"/>
          <w:sz w:val="24"/>
          <w:szCs w:val="24"/>
        </w:rPr>
        <w:t xml:space="preserve"> статьи 21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 2021, N 27, ст. 5179).</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документ (документы) иностранного государства об образовании и о квалификации, если указанное в нем образование признается в Российской Федерации на уровне соответствующего высшего образования (не ниже специалитета или магистратуры) (далее - документ иностранного государства об образовании).</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Прием на обучение осуществляется на первый курс.</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Прием на обучение осуществляется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 и по договорам об образовании, заключаемым при приеме на </w:t>
      </w:r>
      <w:r>
        <w:rPr>
          <w:rFonts w:ascii="Times New Roman" w:hAnsi="Times New Roman"/>
          <w:sz w:val="24"/>
          <w:szCs w:val="24"/>
        </w:rPr>
        <w:lastRenderedPageBreak/>
        <w:t>обучение за счет средств физических и (или) юридических лиц (далее - договоры об оказании платных образовательных услуг). В рамках контрольных цифр выделяется квота приема на целевое обучение (далее - целевая квота).</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Организация осуществляет прием на обучение по следующим условиям поступления на обучение (далее - условия поступления) с проведением отдельного конкурса по каждой совокупности этих условий:</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 организации в целом, включая все ее филиалы, или раздельно для обучения в организации и для обучения в каждом из ее филиалов;</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раздельно по очной, очно-заочной, заочной формам обучения;</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раздельно по программам аспирантуры в зависимости от их направленности (профиля):</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по научной специальности;</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по нескольким научным специальностям в пределах группы научных специальностей (в случае, если контрольные цифры установлены по группе научных специальностей, а также в случае, если контрольные цифры по соответствующим научным специальностям не установлены);</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раздельно в рамках контрольных цифр и по договорам об оказании платных образовательных услуг;</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раздельно на места в пределах целевой квоты и на места в рамках контрольных цифр за вычетом целевой квоты (далее - основные места в рамках контрольных цифр).</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Организация может использовать различные способы проведения конкурса, указанные в пункте 7 Порядка, по различным условиям поступления.</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Для всех конкурсов в рамках одного условия поступления, указанного в подпункте 3 пункта 7 Порядка, устанавливаются одинаковые перечень вступительных испытаний, минимальное количество баллов, подтверждающее успешное прохождение вступительного испытания (далее - минимальное количество баллов), и максимальное количество баллов, за исключением случая, указанного в абзаце втором настоящего пункта.</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Организация или ее учредитель могут установить различное минимальное количество баллов по различным условиям поступления, указанным в подпунктах 1 и (или) 4 пункта 7 Порядка.</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Организация может проводить дополнительный прием на обучение на вакантные места в установленные ею сроки.</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 Информирование о приеме на обучение</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Организация обязана ознакомить поступающего и (или) его родителей (законных представителей) с документами и информацией, указанными в </w:t>
      </w:r>
      <w:hyperlink r:id="rId19" w:history="1">
        <w:r>
          <w:rPr>
            <w:rFonts w:ascii="Times New Roman" w:hAnsi="Times New Roman"/>
            <w:sz w:val="24"/>
            <w:szCs w:val="24"/>
            <w:u w:val="single"/>
          </w:rPr>
          <w:t>части 2</w:t>
        </w:r>
      </w:hyperlink>
      <w:r>
        <w:rPr>
          <w:rFonts w:ascii="Times New Roman" w:hAnsi="Times New Roman"/>
          <w:sz w:val="24"/>
          <w:szCs w:val="24"/>
        </w:rPr>
        <w:t xml:space="preserve"> статьи 55 Федерального закона N 273-ФЗ &lt;6&gt;.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&lt;6&gt; Собрание законодательства Российской Федерации, 2012, N 53, ст. 7598; 2019, N 30, ст. 4134.</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12. В целях информирования о приеме на обучение организация размещает информацию о приеме на обучение на своем официальном сайте в информационно-телекоммуникационной сети "Интернет" (далее - официальный сайт). На официальном сайте размещается следующая информация:</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не позднее 1 ноября года, предшествующего году приема на обучение (при приеме на 2022/23 учебный год - не позднее 15 апреля 2022 г.):</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правила приема, утвержденные организацией самостоятельно, в том числе:</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сроки проведения приема на обучение (за исключением сроков, указанных в подпункте "б" подпункта 2 настоящего пункта);</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особенности проведения вступительных испытаний для инвалидов;</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порядок подачи и рассмотрения апелляций по результатам вступительных испытаний;</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перечень индивидуальных достижений поступающих, учитываемых при приеме на обучение, и порядок учета указанных достижений;</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количество мест для приема на обучение по различным условиям поступления в рамках контрольных цифр (без указания целевой квоты);</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перечень вступительных испытаний с указанием по каждому вступительному испытанию следующих сведений:</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наименование вступительного испытания;</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максимальное количество баллов;</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минимальное количество баллов;</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приоритетность вступительного испытания при ранжировании списков поступающих;</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форма проведения вступительного испытания, языки, на которых осуществляется сдача вступительного испытания, программа вступительного испытания;</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информация о проведении вступительного испытания очно и (или) с использованием дистанционных технологий;</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информация о местах приема заявлений о приеме на обучение и прилагаемых к ним документов (далее соответственно - прием документов; документы, необходимые для поступления), о почтовых адресах для направления документов, необходимых для поступления, об электронных адресах для направления документов, необходимых для поступления, в электронной форме (если организация осуществляет прием документов в электронной форме посредством электронной почты);</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информация о возможности подачи документов, необходимых для поступления, с использованием суперсервиса "Поступление в вуз онлайн" посредством федеральной государственной информационной системы "Единый портал государственных и муниципальных услуг (функций)" (далее соответственно - суперсервис, ЕПГУ) (в случае установления возможности использования суперсервиса при приеме на обучение по программам аспирантуры);</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образец договора об оказании платных образовательных услуг (при объявлении приема на места по договорам об оказании платных образовательных услуг);</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ж) информация о наличии общежития(ий);</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не позднее 1 июня года приема на обучение:</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количество мест для приема на обучение в рамках контрольных цифр по различным условиям поступления с указанием целевой квоты;</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сроки зачисления (сроки размещения ранжированных списков поступающих на официальном сайте, завершения приема оригинала документа установленного образца или согласия на зачисление в соответствии с пунктом 47 Порядка), издания приказа (приказов) о зачислении);</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информация о количестве мест в общежитиях для иногородних обучающихся;</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не позднее чем за 5 месяцев до начала зачисления на места по договорам об оказании платных образовательных услуг - количество указанных мест;</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не позднее чем за 14 календарных дней до начала вступительных испытаний - расписание вступительных испытаний.</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Организация обеспечивает доступность указанной информации для пользователей официального сайта в период с даты ее размещения до дня завершения приема на обучение включительно.</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Помимо официального сайта организация может размещать указанную информацию в свободном доступе иными способами, определяемыми организацией.</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Организация обеспечивает функционирование телефонных линий и раздела официального сайта для ответов на обращения, связанные с приемом на обучение.</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 подавших документы, необходимые для поступления (далее - лица, подавшие документы), по каждому конкурсу.</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III. Прием документов</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Для поступления на обучение поступающий подает заявление о приеме на обучение с приложением необходимых документов (далее - документы, необходимые для поступления). Организация принимает от поступающего документы, необходимые для поступления, при представлении заявления о согласии на обработку его персональных данных, которое содержит в том числе согласие на обработку персональных данных, разрешенных поступающим для распространения (раскрытия неопределенному кругу лиц), даваемое в соответствии со </w:t>
      </w:r>
      <w:hyperlink r:id="rId20" w:history="1">
        <w:r>
          <w:rPr>
            <w:rFonts w:ascii="Times New Roman" w:hAnsi="Times New Roman"/>
            <w:sz w:val="24"/>
            <w:szCs w:val="24"/>
            <w:u w:val="single"/>
          </w:rPr>
          <w:t>статьей 10.1</w:t>
        </w:r>
      </w:hyperlink>
      <w:r>
        <w:rPr>
          <w:rFonts w:ascii="Times New Roman" w:hAnsi="Times New Roman"/>
          <w:sz w:val="24"/>
          <w:szCs w:val="24"/>
        </w:rPr>
        <w:t xml:space="preserve"> Федерального закона от 27 июля 2006 г. N 152-ФЗ "О персональных данных" &lt;7&gt;.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&lt;7&gt; Собрание законодательства Российской Федерации, 2006, N 31, ст. 3451; 2021, N 1, ст. 58.</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Поступающий, подавший заявление о приеме на обучение (далее - заявление о приеме), может внести в него изменения и (или) подать второе (следующее) заявление о приеме по </w:t>
      </w:r>
      <w:r>
        <w:rPr>
          <w:rFonts w:ascii="Times New Roman" w:hAnsi="Times New Roman"/>
          <w:sz w:val="24"/>
          <w:szCs w:val="24"/>
        </w:rPr>
        <w:lastRenderedPageBreak/>
        <w:t>иным условиям поступления в порядке, установленном организацией.</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Заявление о приеме, подаваемое поступающим, должно предусматривать заверение личной подписью поступающего следующих фактов:</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ознакомление поступающего с правилами приема, утвержденными организацией, а также с документами и информацией, указанными в </w:t>
      </w:r>
      <w:hyperlink r:id="rId21" w:history="1">
        <w:r>
          <w:rPr>
            <w:rFonts w:ascii="Times New Roman" w:hAnsi="Times New Roman"/>
            <w:sz w:val="24"/>
            <w:szCs w:val="24"/>
            <w:u w:val="single"/>
          </w:rPr>
          <w:t>части 2</w:t>
        </w:r>
      </w:hyperlink>
      <w:r>
        <w:rPr>
          <w:rFonts w:ascii="Times New Roman" w:hAnsi="Times New Roman"/>
          <w:sz w:val="24"/>
          <w:szCs w:val="24"/>
        </w:rPr>
        <w:t xml:space="preserve"> статьи 55 Федерального закона N 273-ФЗ &lt;8&gt;;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&lt;8&gt; Собрание законодательства Российской Федерации, 2012, N 53, ст. 7598; 2019, N 30, ст. 4134.</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поступлении на обучение на места в рамках контрольных цифр - отсутствие у поступающего диплома об окончании аспирантуры, диплома об окончании адъюнктуры, свидетельства об окончании аспирантуры, свидетельства об окончании адъюнктуры, диплома кандидата наук.</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В заявлении о приеме указываются условия поступления (согласно пункту 7 Порядка), по которым поступающий намерен поступать на обучение, с указанием приоритетности зачисления по различным условиям поступления, а также 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(далее - страховой номер индивидуального лицевого счета) (при наличии).</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 При подаче заявления о приеме поступающий представляет:</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документ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документ установленного образца, указанный в пункте 4 Порядка (в том числе может представить документ иностранного государства об образовании со свидетельством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Поступающий может представить один или несколько документов установленного образца.</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Свидетельство о признании иностранного образования (при необходимости) представляется в те же сроки, что и документ установленного образца;</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документ, подтверждающий регистрацию в системе индивидуального (персонифицированного) учета (при наличии);</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при необходимости создания для поступающего специальных условий, указанных в пункте 36 Порядка, - документ, подтверждающий инвалидность, в связи с наличием которой необходимо создание указанных условий. Документ, подтверждающий инвалидность, принимается организацией, если он действителен на день подачи заявления о приеме;</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документы, подтверждающие индивидуальные достижения поступающего, результаты </w:t>
      </w:r>
      <w:r>
        <w:rPr>
          <w:rFonts w:ascii="Times New Roman" w:hAnsi="Times New Roman"/>
          <w:sz w:val="24"/>
          <w:szCs w:val="24"/>
        </w:rPr>
        <w:lastRenderedPageBreak/>
        <w:t>которых учитываются при приеме на обучение (представляются по усмотрению поступающего);</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иные документы (представляются по усмотрению поступающего);</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две фотографии поступающего (по решению организации).</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 Документ установленного образца представляется (направляется) поступающим при подаче документов, необходимых для поступления, или в более поздний срок до дня завершения приема документов установленного образца включительно.</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 При подаче документов, необходимых для поступления, поступающие могут представлять оригиналы или копии (электронные образы) документов без представления их оригиналов. Заверения указанных копий (электронных образов) не требуется.</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подаче заявления о приеме посредством суперсервиса:</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документ, удостоверяющий личность, гражданство поступающего, документ, подтверждающий регистрацию в системе индивидуального (персонифицированного) учета, считаются представленными, если информация об указанных документах подтверждена сведениями, имеющимися на ЕПГУ;</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документ установленного образца считается представленным в копии, если информация о нем подтверждена сведениями, содержащимися в федеральной информационной системе "Федеральный реестр сведений о документах об образовании и (или) о квалификации, документах об обучении" &lt;9&gt;. В дополнение к указанной информации поступающий может представить копию документа установленного образца для учета индивидуальных достижений и в иных случаях, требующих рассмотрения документа установленного образца.</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&lt;9&gt; </w:t>
      </w:r>
      <w:hyperlink r:id="rId22" w:history="1">
        <w:r>
          <w:rPr>
            <w:rFonts w:ascii="Times New Roman" w:hAnsi="Times New Roman"/>
            <w:sz w:val="24"/>
            <w:szCs w:val="24"/>
            <w:u w:val="single"/>
          </w:rPr>
          <w:t>Часть 9</w:t>
        </w:r>
      </w:hyperlink>
      <w:r>
        <w:rPr>
          <w:rFonts w:ascii="Times New Roman" w:hAnsi="Times New Roman"/>
          <w:sz w:val="24"/>
          <w:szCs w:val="24"/>
        </w:rPr>
        <w:t xml:space="preserve"> статьи 98 Федерального закона N 273-ФЗ (Собрание законодательства Российской Федерации, 2012, N 53, ст. 7598; 2021, N 18, ст. 3058).</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Заявление о приеме представляется на русском языке.</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Поступающий может представить заявление о приеме на языке республики Российской Федерации, на территории которой расположена организация (далее - язык республики Российской Федерации), или на иностранном языке, если организацией установлена такая возможность.</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Документы, выполненные на иностранном языке, должны быть переведены на русский язык, если иное не предусмотрено международным договором Российской Федерации.</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Документы, полученные в иностранном государстве, должны быть легализованы, если иное не предусмотрено международным договором Российской Федерации или законодательством Российской Федерации &lt;10&gt;.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&lt;10&gt; </w:t>
      </w:r>
      <w:hyperlink r:id="rId23" w:history="1">
        <w:r>
          <w:rPr>
            <w:rFonts w:ascii="Times New Roman" w:hAnsi="Times New Roman"/>
            <w:sz w:val="24"/>
            <w:szCs w:val="24"/>
            <w:u w:val="single"/>
          </w:rPr>
          <w:t>Часть 2</w:t>
        </w:r>
      </w:hyperlink>
      <w:r>
        <w:rPr>
          <w:rFonts w:ascii="Times New Roman" w:hAnsi="Times New Roman"/>
          <w:sz w:val="24"/>
          <w:szCs w:val="24"/>
        </w:rPr>
        <w:t xml:space="preserve"> статьи 6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w:t>
      </w:r>
      <w:r>
        <w:rPr>
          <w:rFonts w:ascii="Times New Roman" w:hAnsi="Times New Roman"/>
          <w:sz w:val="24"/>
          <w:szCs w:val="24"/>
        </w:rPr>
        <w:lastRenderedPageBreak/>
        <w:t>законодательства Российской Федерации, 2014, N 19, ст. 2289).</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 Документы, необходимые для поступления, представляются (направляются) поступающим в организацию одним из следующих способов:</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представляются в организацию лично поступающим;</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направляются в организацию через операторов почтовой связи общего пользования;</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направляются в организацию в электронной форме посредством электронной информационной системы организации, а также посредством суперсервиса (в случае его использования).</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Организация обеспечивает возможность представления (направления) документов, необходимых для поступления, всеми указанными способами (посредством суперсервиса - в случае его использования).</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Организация устанавливает места приема документов, представляемых поступающими лично, а также сроки приема документов, в том числе в указанных выше местах.</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если документы, необходимые для поступления, представляются в организацию лично поступающим, поступающему выдается расписка в приеме документов.</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 Организация осуществляет проверку достоверности сведений, указанных в заявлении о приеме, и подлинности поданных документов, в том числе путем обращения в соответствующие государственные информационные системы, государственные (муниципальные) органы и организации.</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 Поступающий имеет право на любом этапе поступления на обучение подать заявление об отзыве поданных документов (далее - отзыв документов). При отзыве документов поступающий исключается из списков лиц, подавших документы, списков поступающих и не подлежит зачислению (исключается из числа зачисленных).</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Поступающий, не включенный в число зачисленных, имеет право подать заявление об отзыве оригинала документа установленного образца (представленной посредством суперсервиса уникальной информации о документе установленного образца) (далее - отзыв оригинала). При отзыве оригинала поступающий не исключается из списков лиц, подавших документы, и списков поступающих.</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Организация возвращает поступающему, подавшему заявление об отзыве документов или заявление об отзыве оригинала, соответственно поданные документы в части их оригиналов или поданный оригинал документа установленного образца в срок, установленный организацией.</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 Организация возвращает поступающему, не принятому на обучение, поданные документы в части их оригиналов (при наличии) в срок, установленный организацией. В случае невозможности возврата указанных оригиналов они остаются на хранении в организации.</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IV. Проведение вступительных испытаний и учет индивидуальных достижений поступающих</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26. Прием на обучение проводится по результатам вступительных испытаний, установление </w:t>
      </w:r>
      <w:r>
        <w:rPr>
          <w:rFonts w:ascii="Times New Roman" w:hAnsi="Times New Roman"/>
          <w:sz w:val="24"/>
          <w:szCs w:val="24"/>
        </w:rPr>
        <w:lastRenderedPageBreak/>
        <w:t>перечня и проведение которых осуществляется организацией самостоятельно.</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Максимальное количество баллов и минимальное количество баллов для каждого вступительного испытания устанавливаются организацией самостоятельно.</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 Поступающий однократно сдает каждое вступительное испытание.</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 Вступительные испытания проводятся на русском языке, а также по решению организации - на языке республики Российской Федерации и (или) на иностранном языке.</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приеме на обучение по программам аспирантуры с иностранным языком (языками) образования организация устанавливает, что вступительное испытание (испытания) проводится на русском языке и на иностранном языке (языках) либо только на иностранном языке (языках).</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если вступительное испытание проводится на нескольких языках, поступающий выбирает один из языков.</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 Организация проводит вступительные испытания очно и (или) с использованием дистанционных технологий (при условии идентификации поступающих при сдаче ими вступительных испытаний).</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 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каждой группы поступающих проводится одно вступительное испытание в день. По желанию поступающего ему может быть предоставлена возможность сдавать более одного вступительного испытания в день.</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 При нарушении поступающим во время проведения вступительного испытания правил приема, утвержденных организацией, уполномоченные должностные лица организации составляют акт о нарушении и о непрохождении поступающим вступительного испытания без уважительной причины, а при очном проведении вступительного испытания - также удаляют поступающего с места проведения вступительного испытания.</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 Результаты вступительного испытания объявляются на официальном сайте не позднее третьего рабочего дня после проведения вступительного испытания. Помимо официального сайта организация может объявлять указанные результаты иными способами, определяемыми организацией.</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 выполненной при прохождении вступительного испытания.</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34. По результатам вступительного испытания, проводимого организацией самостоятельно, поступающий имеет право подать в организацию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Правила подачи и рассмотрения апелляций устанавливаются организацией.</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35. Перечень индивидуальных достижений, учитываемых при приеме на обучение, и порядок их учета устанавливаются организацией самостоятельно. Учет результатов индивидуальных достижений осуществляется посредством начисления баллов за индивидуальные достижения и (или) в качестве преимущества при равенстве критериев ранжирования списков поступающих.</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Поступающий представляет документы, подтверждающие получение результатов индивидуальных достижений.</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Баллы, начисленные за индивидуальные достижения, включаются в сумму конкурсных баллов.</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 Особенности проведения вступительных испытаний для инвалидов</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36. При проведении вступительных испытаний для поступающих из числа инвалидов организация обеспечивает создание условий с учетом особенностей психофизического развития поступающих, их индивидуальных возможностей и состояния здоровья (далее соответственно - специальные условия, индивидуальные особенности).</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37. При очном проведении вступительных испытаний в организации должен быть обеспечен беспрепятственный доступ поступающих из числа инвалидов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38. Очные вступительные испытания для поступающих из числа инвалидов проводятся в отдельной аудитории.</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Число поступающих из числа инвалидов в одной аудитории не должно превышать:</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сдаче вступительного испытания в письменной форме - 12 человек;</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сдаче вступительного испытания в устной форме - 6 человек.</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Допускается присутствие в аудитории во время сдачи вступительного испытания большего числа поступающих из числа инвалидов, а также проведение вступительных испытаний для поступающих из числа инвалидов в одной аудитории совместно с иными поступающими, если это не создает трудностей для поступающих при сдаче вступительного испытания.</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из числа инвалидов необходимую техническую помощь с учетом их индивидуальных особенностей (занять рабочее место, передвигаться, прочитать и оформить задание, общаться с лицами, проводящими вступительное испытание).</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39. Продолжительность вступительного испытания для поступающих из числа инвалидов увеличивается по решению организации, но не более чем на 1,5 часа.</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40. Поступающим из числа инвалидов предоставляется в доступной для них форме информация о порядке проведения вступительных испытаний.</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41. Поступающие из числа инвалидов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42.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из числа инвалидов:</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для слепых:</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очном проведении вступительных испытаний поступающим для выполнения задания при необходимости предоставляются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для слабовидящих:</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обеспечивается индивидуальное равномерное освещение не менее 300 люкс (при очном проведении вступительных испытаний);</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поступающим для выполнения задания при необходимости предоставляется увеличивающее устройство (при очном проведении вступительных испытаний), возможно также использование собственных увеличивающих устройств;</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задания для выполнения, а также инструкция по порядку проведения вступительных испытаний оформляются увеличенным шрифтом;</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для глухих и слабослышащих:</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 (при очном проведении вступительных испытаний);</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предоставляются услуги сурдопереводчика;</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для слепоглухих предоставляются услуги тифлосурдопереводчика (помимо требований, выполняемых соответственно для слепых и глухих);</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для лиц с тяжелыми нарушениями речи, глухих, слабослышащих вступительные испытания, проводимые в устной форме, по решению организации проводятся в письменной форме;</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письменные задания выполняются на компьютере со специализированным программным обеспечением или надиктовываются ассистенту;</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вступительные испытания, проводимые в письменной форме, по решению организации проводятся в устной форме.</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43. Условия, указанные в пунктах 37 - 42 Порядка, предоставляются поступающим из числа инвалидов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 документа, подтверждающего инвалидность, в связи с наличием которой необходимо создание указанных условий.</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 Формирование ранжированных списков поступающих и зачисление</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44. По результатам вступительных испытаний организация формирует отдельный ранжированный список поступающих по каждому конкурсу (далее - конкурсный список), в который включаются поступающие, набравшие не менее минимального количества баллов по вступительным испытаниям. Конкурсные списки публикуются на официальном сайте и на суперсервисе (в случае установления возможности использования суперсервиса при приеме на обучение по программам аспирантуры) и обновляются ежедневно до дня, следующего за днем завершения приема документов установленного образца, включительно.</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45. Конкурсный список ранжируется по следующим основаниям:</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 убыванию суммы конкурсных баллов, исчисленной как сумма баллов за каждое вступительное испытание и за индивидуальные достижения;</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при равенстве по критериям, указанным в подпунктах 1 и 2 настоящего пункта, - по индивидуальным достижениям, учитываемым при равенстве поступающих по иным критериям ранжирования.</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46. В конкурсном списке указываются следующие сведения по каждому поступающему:</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страховой номер индивидуального лицевого счета или уникальный код, присвоенный поступающему (при отсутствии указанного индивидуального лицевого счета);</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сумма конкурсных баллов (за вступительные испытания и индивидуальные достижения);</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сумма баллов за вступительные испытания;</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количество баллов за каждое вступительное испытание;</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количество баллов за индивидуальные достижения;</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наличие оригинала документа установленного образца (уникальной информации о документе установленного образца) или заявления о согласии на зачисление, представленного в соответствии с пунктом 47 Порядка.</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конкурсном списке фамилия, имя, отчество (при наличии) поступающих не указываются.</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47. Организация устанавливает день завершения приема документов установленного образца, </w:t>
      </w:r>
      <w:r>
        <w:rPr>
          <w:rFonts w:ascii="Times New Roman" w:hAnsi="Times New Roman"/>
          <w:sz w:val="24"/>
          <w:szCs w:val="24"/>
        </w:rPr>
        <w:lastRenderedPageBreak/>
        <w:t>не позднее которого поступающие представляют:</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зачисления на места в рамках контрольных цифр - оригинал документа установленного образца либо уникальную информацию о документе установленного образца посредством суперсервиса. Поступающий на обучение в рамках контрольных цифр не вправе одновременно представлять в различные организации оригинал документа установленного образца и уникальную информацию о документе установленного образца;</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зачисления на места по договорам об оказании платных образовательных услуг - оригинал документа установленного образца, либо заявление о согласии на зачисление с приложением заверенной копии указанного документа или копии указанного документа с предъявлением его оригинала, либо заявление о согласии на зачисление при условии подтверждения информации о документе установленного образца сведениями, содержащимися в федеральной информационной системе "Федеральный реестр сведений о документах об образовании и (или) о квалификации, документах об обучении".</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день завершения приема документов установленного образца прием оригиналов документа установленного образца (уникальной информации о документе установленного образца) и заявлений о согласии на зачисление завершается не ранее 18 часов по местному времени.</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48. Зачислению подлежат поступающие, представившие оригинал документа установленного образца (уникальную информацию о документе установленного образца) или заявление о согласии на зачисление в соответствии с пунктом 47 Порядка. Зачисление проводится в соответствии с конкурсным списком до заполнения установленного количества мест.</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приеме на обучение на места в рамках контрольных цифр зачисление осуществляется при условии наличия в организации оригинала документа установленного образца (наличия неотозванной уникальной информации о документе установленного образца) по состоянию на день издания приказа о зачислении.</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49. Незаполненные места в пределах целевой квоты используются для зачисления лиц, поступающих на основные места в рамках контрольных цифр.</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50. В случае если после завершения зачисления имеются незаполненные места, организация может на основании конкурсных списков провести дополнительное зачисление на указанные места.</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51. При зачислении на обучение по договорам об оказании платных образовательных услуг установленное количество мест может быть превышено по решению организации. При принятии указанного решения организация зачисляет на обучение всех поступающих, набравших не менее минимального количества баллов, либо устанавливает сумму конкурсных баллов (сумму баллов за каждое вступительное испытание и за индивидуальные достижения), необходимую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не менее установленной суммы конкурсных баллов.</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52. Зачисление оформляется приказом (приказами) организации о зачислении.</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53. Информирование о зачислении осуществляется в порядке, установленном организацией.</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54. Сведения о зачислении на обучение без указания фамилии, имени, отчества (при наличии) поступающих с указанием страхового номера индивидуального лицевого счета (при наличии) или уникального кода, присвоенного поступающему (при отсутствии указанного </w:t>
      </w:r>
      <w:r>
        <w:rPr>
          <w:rFonts w:ascii="Times New Roman" w:hAnsi="Times New Roman"/>
          <w:sz w:val="24"/>
          <w:szCs w:val="24"/>
        </w:rPr>
        <w:lastRenderedPageBreak/>
        <w:t>индивидуального лицевого счета), суммы конкурсных баллов, количества баллов за вступительные испытания и за индивидуальные достижения размещаются на официальном сайте в день издания соответствующих приказов о зачислении и должны быть доступны пользователям официального сайта в течение 6 месяцев со дня их издания.</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VII. Особенности приема на целевое обучение</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55. Организация устанавливает целевую квоту в соответствии с квотой приема на целевое обучение, установленной Правительством Российской Федерации, органами государственной власти субъектов Российской Федерации, органами местного самоуправления &lt;11&gt;, или количеством мест для приема на целевое обучение, установленным учредителем.</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&lt;11&gt; </w:t>
      </w:r>
      <w:hyperlink r:id="rId24" w:history="1">
        <w:r>
          <w:rPr>
            <w:rFonts w:ascii="Times New Roman" w:hAnsi="Times New Roman"/>
            <w:sz w:val="24"/>
            <w:szCs w:val="24"/>
            <w:u w:val="single"/>
          </w:rPr>
          <w:t>Часть 3</w:t>
        </w:r>
      </w:hyperlink>
      <w:r>
        <w:rPr>
          <w:rFonts w:ascii="Times New Roman" w:hAnsi="Times New Roman"/>
          <w:sz w:val="24"/>
          <w:szCs w:val="24"/>
        </w:rPr>
        <w:t xml:space="preserve"> статьи 71.1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56. При приеме на обучение на места в пределах целевой квоты проводится конкурс по каждой научной специальности в соответствии с подпунктом "а" подпункта 3 пункта 7 Порядка.</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57. Прием на целевое обучение осуществляется при наличии договора о целевом обучении, заключенного между поступающим и органом или организацией, указанными в </w:t>
      </w:r>
      <w:hyperlink r:id="rId25" w:history="1">
        <w:r>
          <w:rPr>
            <w:rFonts w:ascii="Times New Roman" w:hAnsi="Times New Roman"/>
            <w:sz w:val="24"/>
            <w:szCs w:val="24"/>
            <w:u w:val="single"/>
          </w:rPr>
          <w:t>части 1</w:t>
        </w:r>
      </w:hyperlink>
      <w:r>
        <w:rPr>
          <w:rFonts w:ascii="Times New Roman" w:hAnsi="Times New Roman"/>
          <w:sz w:val="24"/>
          <w:szCs w:val="24"/>
        </w:rPr>
        <w:t xml:space="preserve"> статьи 71.1 Федерального закона N 273-ФЗ &lt;12&gt; (далее - заказчик целевого обучения), в соответствии с положением о целевом обучении и типовой формой договора о целевом обучении, устанавливаемыми Правительством Российской Федерации &lt;13&gt;.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&lt;12&gt; Собрание законодательства Российской Федерации, 2012, N 53, ст. 7598; 2020, N 24, ст. 3738.</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&lt;13&gt; </w:t>
      </w:r>
      <w:hyperlink r:id="rId26" w:history="1">
        <w:r>
          <w:rPr>
            <w:rFonts w:ascii="Times New Roman" w:hAnsi="Times New Roman"/>
            <w:sz w:val="24"/>
            <w:szCs w:val="24"/>
            <w:u w:val="single"/>
          </w:rPr>
          <w:t>Часть 7</w:t>
        </w:r>
      </w:hyperlink>
      <w:r>
        <w:rPr>
          <w:rFonts w:ascii="Times New Roman" w:hAnsi="Times New Roman"/>
          <w:sz w:val="24"/>
          <w:szCs w:val="24"/>
        </w:rPr>
        <w:t xml:space="preserve"> статьи 56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58. При подаче заявления о приеме на целевое обучение поступающий представляет помимо документов, указанных в пункте 18 Порядка, договор о целевом обучении (оригинал договора, или копию договора, заверенную заказчиком целевого обучения, или незаверенную копию договора с предъявлением его оригинала).</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Прием на целевое обучение в интересах безопасности государства осуществляется при наличии в организации информации о заключенном договоре о целевом обучении, полученной от соответствующего федерального государственного органа, являющегося заказчиком целевого обучения, и без представления поступающим договора о целевом обучении.</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59. В случае если федеральный государственный орган детализировал целевую квоту по научной специальности путем установления количества мест с указанием заказчиков целевого обучения &lt;14&gt; (далее - детализированная целевая квота):</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&lt;14&gt; </w:t>
      </w:r>
      <w:hyperlink r:id="rId27" w:history="1">
        <w:r>
          <w:rPr>
            <w:rFonts w:ascii="Times New Roman" w:hAnsi="Times New Roman"/>
            <w:sz w:val="24"/>
            <w:szCs w:val="24"/>
            <w:u w:val="single"/>
          </w:rPr>
          <w:t>Пункт 8</w:t>
        </w:r>
      </w:hyperlink>
      <w:r>
        <w:rPr>
          <w:rFonts w:ascii="Times New Roman" w:hAnsi="Times New Roman"/>
          <w:sz w:val="24"/>
          <w:szCs w:val="24"/>
        </w:rPr>
        <w:t xml:space="preserve"> Правил установления квоты приема на целевое обучение по образовательным программам высшего образования за счет бюджетных ассигнований федерального бюджета, утвержденных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(Собрание законодательства Российской Федерации, 2020, N 43, ст. 6783).</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организация проводит отдельный конкурс по каждой детализированной целевой квоте;</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поступающий участвует в конкурсе по одной детализированной целевой квоте по данной научной специальности;</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наличии мест в пределах целевой квоты, в отношении которых не указаны заказчики, такие места являются детализированной целевой квотой, в конкурсе по которой участвуют поступающие, заключившие договор о целевом обучении с заказчиками, не указанными по другим детализированным целевым квотам;</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незаполненные места детализированных целевых квот используются в соответствии с пунктом 49 Порядка.</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60. В списке лиц, подавших документы, и в списке поступающих на места в пределах целевой квоты не указываются сведения, относящиеся к приему на целевое обучение в интересах безопасности государства.</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61. 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VIII. Особенности приема на обучение иностранных граждан и лиц без гражданства</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62.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 &lt;15&gt;.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&lt;15&gt; </w:t>
      </w:r>
      <w:hyperlink r:id="rId28" w:history="1">
        <w:r>
          <w:rPr>
            <w:rFonts w:ascii="Times New Roman" w:hAnsi="Times New Roman"/>
            <w:sz w:val="24"/>
            <w:szCs w:val="24"/>
            <w:u w:val="single"/>
          </w:rPr>
          <w:t>Часть 3</w:t>
        </w:r>
      </w:hyperlink>
      <w:r>
        <w:rPr>
          <w:rFonts w:ascii="Times New Roman" w:hAnsi="Times New Roman"/>
          <w:sz w:val="24"/>
          <w:szCs w:val="24"/>
        </w:rPr>
        <w:t xml:space="preserve"> статьи 78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63.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w:t>
      </w:r>
      <w:r>
        <w:rPr>
          <w:rFonts w:ascii="Times New Roman" w:hAnsi="Times New Roman"/>
          <w:sz w:val="24"/>
          <w:szCs w:val="24"/>
        </w:rPr>
        <w:lastRenderedPageBreak/>
        <w:t>власти, осуществляющего функции по выработке государственной политики и нормативно-правовому регулированию в сфере высшего образования. Зачисление в пределах квоты на образование иностранных граждан оформляется отдельным приказом (приказами) организации.</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64. Иностранные граждане, которые поступают на обучение на основании международных договоров, представляют помимо документов, указанных в пункте 18 Порядка, документы, подтверждающие их отнесение к числу лиц, указанных в соответствующих международных договорах.</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65. Иностранные граждане и лица без гражданства, являющиеся соотечественниками, проживающими за рубежом (далее - соотечественники), представляют помимо документов, указанных в пункте 18 Порядка, оригиналы или копии документов, предусмотренных </w:t>
      </w:r>
      <w:hyperlink r:id="rId29" w:history="1">
        <w:r>
          <w:rPr>
            <w:rFonts w:ascii="Times New Roman" w:hAnsi="Times New Roman"/>
            <w:sz w:val="24"/>
            <w:szCs w:val="24"/>
            <w:u w:val="single"/>
          </w:rPr>
          <w:t>частью 6</w:t>
        </w:r>
      </w:hyperlink>
      <w:r>
        <w:rPr>
          <w:rFonts w:ascii="Times New Roman" w:hAnsi="Times New Roman"/>
          <w:sz w:val="24"/>
          <w:szCs w:val="24"/>
        </w:rPr>
        <w:t xml:space="preserve"> статьи 17 Федерального закона от 24 мая 1999 г. N 99-ФЗ "О государственной политике Российской Федерации в отношении соотечественников за рубежом" &lt;16&gt;.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&lt;16&gt; Собрание законодательства Российской Федерации, 1999, N 22, ст. 2670; 2013, N 30, ст. 4036.</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66. При подаче документов иностранный гражданин или лицо без гражданства представляет в соответствии с подпунктом 1 пункта 18 Порядка оригинал или копию документа, удостоверяющего личность, гражданство,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hyperlink r:id="rId30" w:history="1">
        <w:r>
          <w:rPr>
            <w:rFonts w:ascii="Times New Roman" w:hAnsi="Times New Roman"/>
            <w:sz w:val="24"/>
            <w:szCs w:val="24"/>
            <w:u w:val="single"/>
          </w:rPr>
          <w:t>статьей 10</w:t>
        </w:r>
      </w:hyperlink>
      <w:r>
        <w:rPr>
          <w:rFonts w:ascii="Times New Roman" w:hAnsi="Times New Roman"/>
          <w:sz w:val="24"/>
          <w:szCs w:val="24"/>
        </w:rPr>
        <w:t xml:space="preserve"> Федерального закона от 25 июля 2002 г. N 115-ФЗ "О правовом положении иностранных граждан в Российской Федерации" &lt;17&gt;.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&lt;17&gt; Собрание законодательства Российской Федерации, 2002, N 30, ст. 3032; 2021, N 9, ст. 1475.</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67. Прием иностранных граждан и лиц без гражданства на обучение по образовательным программам, содержащим сведения, составляющие государственную тайну, осуществляется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sectPr w:rsidR="00FF556F">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771"/>
    <w:rsid w:val="003E3771"/>
    <w:rsid w:val="00903176"/>
    <w:rsid w:val="00FF5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5CAFFC6-865E-4711-A21F-8401DEA9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28130#l0" TargetMode="External"/><Relationship Id="rId13" Type="http://schemas.openxmlformats.org/officeDocument/2006/relationships/hyperlink" Target="https://normativ.kontur.ru/document?moduleid=1&amp;documentid=401528#l787" TargetMode="External"/><Relationship Id="rId18" Type="http://schemas.openxmlformats.org/officeDocument/2006/relationships/hyperlink" Target="https://normativ.kontur.ru/document?moduleid=1&amp;documentid=396644#l94" TargetMode="External"/><Relationship Id="rId26" Type="http://schemas.openxmlformats.org/officeDocument/2006/relationships/hyperlink" Target="https://normativ.kontur.ru/document?moduleid=1&amp;documentid=401528#l7711" TargetMode="External"/><Relationship Id="rId3" Type="http://schemas.openxmlformats.org/officeDocument/2006/relationships/webSettings" Target="webSettings.xml"/><Relationship Id="rId21" Type="http://schemas.openxmlformats.org/officeDocument/2006/relationships/hyperlink" Target="https://normativ.kontur.ru/document?moduleid=1&amp;documentid=401528#l717" TargetMode="External"/><Relationship Id="rId7" Type="http://schemas.openxmlformats.org/officeDocument/2006/relationships/hyperlink" Target="https://normativ.kontur.ru/document?moduleid=1&amp;documentid=307402#l0" TargetMode="External"/><Relationship Id="rId12" Type="http://schemas.openxmlformats.org/officeDocument/2006/relationships/hyperlink" Target="https://normativ.kontur.ru/document?moduleid=1&amp;documentid=401528#l863" TargetMode="External"/><Relationship Id="rId17" Type="http://schemas.openxmlformats.org/officeDocument/2006/relationships/hyperlink" Target="https://normativ.kontur.ru/document?moduleid=1&amp;documentid=401394#l198" TargetMode="External"/><Relationship Id="rId25" Type="http://schemas.openxmlformats.org/officeDocument/2006/relationships/hyperlink" Target="https://normativ.kontur.ru/document?moduleid=1&amp;documentid=401528#l7716" TargetMode="External"/><Relationship Id="rId2" Type="http://schemas.openxmlformats.org/officeDocument/2006/relationships/settings" Target="settings.xml"/><Relationship Id="rId16" Type="http://schemas.openxmlformats.org/officeDocument/2006/relationships/hyperlink" Target="https://normativ.kontur.ru/document?moduleid=1&amp;documentid=401394#l189" TargetMode="External"/><Relationship Id="rId20" Type="http://schemas.openxmlformats.org/officeDocument/2006/relationships/hyperlink" Target="https://normativ.kontur.ru/document?moduleid=1&amp;documentid=395751#l71" TargetMode="External"/><Relationship Id="rId29" Type="http://schemas.openxmlformats.org/officeDocument/2006/relationships/hyperlink" Target="https://normativ.kontur.ru/document?moduleid=1&amp;documentid=221505#l114" TargetMode="External"/><Relationship Id="rId1" Type="http://schemas.openxmlformats.org/officeDocument/2006/relationships/styles" Target="styles.xml"/><Relationship Id="rId6" Type="http://schemas.openxmlformats.org/officeDocument/2006/relationships/hyperlink" Target="https://normativ.kontur.ru/document?moduleid=1&amp;documentid=308247#l0" TargetMode="External"/><Relationship Id="rId11" Type="http://schemas.openxmlformats.org/officeDocument/2006/relationships/hyperlink" Target="https://normativ.kontur.ru/document?moduleid=1&amp;documentid=401528#l1012" TargetMode="External"/><Relationship Id="rId24" Type="http://schemas.openxmlformats.org/officeDocument/2006/relationships/hyperlink" Target="https://normativ.kontur.ru/document?moduleid=1&amp;documentid=401528#l7719" TargetMode="External"/><Relationship Id="rId32" Type="http://schemas.openxmlformats.org/officeDocument/2006/relationships/theme" Target="theme/theme1.xml"/><Relationship Id="rId5" Type="http://schemas.openxmlformats.org/officeDocument/2006/relationships/hyperlink" Target="https://normativ.kontur.ru/document?moduleid=1&amp;documentid=391729#l26" TargetMode="External"/><Relationship Id="rId15" Type="http://schemas.openxmlformats.org/officeDocument/2006/relationships/hyperlink" Target="https://normativ.kontur.ru/document?moduleid=1&amp;documentid=396644#l213" TargetMode="External"/><Relationship Id="rId23" Type="http://schemas.openxmlformats.org/officeDocument/2006/relationships/hyperlink" Target="https://normativ.kontur.ru/document?moduleid=1&amp;documentid=341138#l93" TargetMode="External"/><Relationship Id="rId28" Type="http://schemas.openxmlformats.org/officeDocument/2006/relationships/hyperlink" Target="https://normativ.kontur.ru/document?moduleid=1&amp;documentid=401528#l969" TargetMode="External"/><Relationship Id="rId10" Type="http://schemas.openxmlformats.org/officeDocument/2006/relationships/hyperlink" Target="https://normativ.kontur.ru/document?moduleid=1&amp;documentid=401528#l7495" TargetMode="External"/><Relationship Id="rId19" Type="http://schemas.openxmlformats.org/officeDocument/2006/relationships/hyperlink" Target="https://normativ.kontur.ru/document?moduleid=1&amp;documentid=401528#l717" TargetMode="External"/><Relationship Id="rId31" Type="http://schemas.openxmlformats.org/officeDocument/2006/relationships/fontTable" Target="fontTable.xml"/><Relationship Id="rId4" Type="http://schemas.openxmlformats.org/officeDocument/2006/relationships/hyperlink" Target="https://normativ.kontur.ru/document?moduleid=1&amp;documentid=401528#l723" TargetMode="External"/><Relationship Id="rId9" Type="http://schemas.openxmlformats.org/officeDocument/2006/relationships/hyperlink" Target="https://normativ.kontur.ru/document?moduleid=1&amp;documentid=369650#l0" TargetMode="External"/><Relationship Id="rId14" Type="http://schemas.openxmlformats.org/officeDocument/2006/relationships/hyperlink" Target="https://normativ.kontur.ru/document?moduleid=1&amp;documentid=401528#l7804" TargetMode="External"/><Relationship Id="rId22" Type="http://schemas.openxmlformats.org/officeDocument/2006/relationships/hyperlink" Target="https://normativ.kontur.ru/document?moduleid=1&amp;documentid=401528#l1300" TargetMode="External"/><Relationship Id="rId27" Type="http://schemas.openxmlformats.org/officeDocument/2006/relationships/hyperlink" Target="https://normativ.kontur.ru/document?moduleid=1&amp;documentid=400713#l563" TargetMode="External"/><Relationship Id="rId30" Type="http://schemas.openxmlformats.org/officeDocument/2006/relationships/hyperlink" Target="https://normativ.kontur.ru/document?moduleid=1&amp;documentid=400903#l24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7175</Words>
  <Characters>40901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Tihonovich</dc:creator>
  <cp:keywords/>
  <dc:description/>
  <cp:lastModifiedBy>user1</cp:lastModifiedBy>
  <cp:revision>2</cp:revision>
  <dcterms:created xsi:type="dcterms:W3CDTF">2022-04-04T13:19:00Z</dcterms:created>
  <dcterms:modified xsi:type="dcterms:W3CDTF">2022-04-04T13:19:00Z</dcterms:modified>
</cp:coreProperties>
</file>